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DC9" w:rsidRPr="00C54DC9" w:rsidRDefault="00C54DC9" w:rsidP="00C54DC9">
      <w:pPr>
        <w:spacing w:line="240" w:lineRule="auto"/>
        <w:jc w:val="left"/>
        <w:rPr>
          <w:rFonts w:eastAsia="Times New Roman" w:cs="Times New Roman"/>
          <w:sz w:val="26"/>
          <w:szCs w:val="26"/>
        </w:rPr>
      </w:pPr>
    </w:p>
    <w:tbl>
      <w:tblPr>
        <w:tblW w:w="10065" w:type="dxa"/>
        <w:tblCellSpacing w:w="0" w:type="dxa"/>
        <w:tblInd w:w="-709" w:type="dxa"/>
        <w:shd w:val="clear" w:color="auto" w:fill="FFFFFF"/>
        <w:tblCellMar>
          <w:left w:w="0" w:type="dxa"/>
          <w:right w:w="0" w:type="dxa"/>
        </w:tblCellMar>
        <w:tblLook w:val="04A0" w:firstRow="1" w:lastRow="0" w:firstColumn="1" w:lastColumn="0" w:noHBand="0" w:noVBand="1"/>
      </w:tblPr>
      <w:tblGrid>
        <w:gridCol w:w="4395"/>
        <w:gridCol w:w="5670"/>
      </w:tblGrid>
      <w:tr w:rsidR="00C54DC9" w:rsidRPr="00C54DC9" w:rsidTr="00C54DC9">
        <w:trPr>
          <w:trHeight w:val="109"/>
          <w:tblCellSpacing w:w="0" w:type="dxa"/>
        </w:trPr>
        <w:tc>
          <w:tcPr>
            <w:tcW w:w="4395" w:type="dxa"/>
            <w:shd w:val="clear" w:color="auto" w:fill="auto"/>
            <w:tcMar>
              <w:top w:w="0" w:type="dxa"/>
              <w:left w:w="108" w:type="dxa"/>
              <w:bottom w:w="0" w:type="dxa"/>
              <w:right w:w="108" w:type="dxa"/>
            </w:tcMar>
            <w:vAlign w:val="center"/>
            <w:hideMark/>
          </w:tcPr>
          <w:p w:rsidR="00C54DC9" w:rsidRPr="00C54DC9" w:rsidRDefault="00C54DC9" w:rsidP="00C54DC9">
            <w:pPr>
              <w:spacing w:line="240" w:lineRule="auto"/>
              <w:ind w:firstLine="0"/>
              <w:jc w:val="center"/>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BAN CHẤP HÀNH TRUNG ƯƠNG</w:t>
            </w:r>
            <w:r w:rsidRPr="00C54DC9">
              <w:rPr>
                <w:rFonts w:eastAsia="Times New Roman" w:cs="Times New Roman"/>
                <w:color w:val="363636"/>
                <w:sz w:val="26"/>
                <w:szCs w:val="26"/>
                <w:bdr w:val="none" w:sz="0" w:space="0" w:color="auto" w:frame="1"/>
              </w:rPr>
              <w:br/>
            </w:r>
            <w:r w:rsidRPr="00C54DC9">
              <w:rPr>
                <w:rFonts w:eastAsia="Times New Roman" w:cs="Times New Roman"/>
                <w:b/>
                <w:bCs/>
                <w:color w:val="363636"/>
                <w:sz w:val="26"/>
                <w:szCs w:val="26"/>
                <w:bdr w:val="none" w:sz="0" w:space="0" w:color="auto" w:frame="1"/>
              </w:rPr>
              <w:t>BAN TUYÊN GIÁO</w:t>
            </w:r>
            <w:r w:rsidRPr="00C54DC9">
              <w:rPr>
                <w:rFonts w:eastAsia="Times New Roman" w:cs="Times New Roman"/>
                <w:b/>
                <w:bCs/>
                <w:color w:val="363636"/>
                <w:sz w:val="26"/>
                <w:szCs w:val="26"/>
                <w:bdr w:val="none" w:sz="0" w:space="0" w:color="auto" w:frame="1"/>
              </w:rPr>
              <w:br/>
              <w:t>-------</w:t>
            </w:r>
          </w:p>
        </w:tc>
        <w:tc>
          <w:tcPr>
            <w:tcW w:w="5670" w:type="dxa"/>
            <w:shd w:val="clear" w:color="auto" w:fill="auto"/>
            <w:tcMar>
              <w:top w:w="0" w:type="dxa"/>
              <w:left w:w="108" w:type="dxa"/>
              <w:bottom w:w="0" w:type="dxa"/>
              <w:right w:w="108" w:type="dxa"/>
            </w:tcMar>
            <w:vAlign w:val="center"/>
            <w:hideMark/>
          </w:tcPr>
          <w:p w:rsidR="00C54DC9" w:rsidRPr="00C54DC9" w:rsidRDefault="00C54DC9" w:rsidP="00C54DC9">
            <w:pPr>
              <w:spacing w:line="240" w:lineRule="auto"/>
              <w:ind w:hanging="107"/>
              <w:jc w:val="center"/>
              <w:textAlignment w:val="baseline"/>
              <w:rPr>
                <w:rFonts w:eastAsia="Times New Roman" w:cs="Times New Roman"/>
                <w:color w:val="363636"/>
                <w:sz w:val="26"/>
                <w:szCs w:val="26"/>
              </w:rPr>
            </w:pPr>
            <w:r w:rsidRPr="00C54DC9">
              <w:rPr>
                <w:rFonts w:eastAsia="Times New Roman" w:cs="Times New Roman"/>
                <w:b/>
                <w:bCs/>
                <w:color w:val="363636"/>
                <w:sz w:val="26"/>
                <w:szCs w:val="26"/>
                <w:bdr w:val="none" w:sz="0" w:space="0" w:color="auto" w:frame="1"/>
              </w:rPr>
              <w:t>ĐẢNG CỘNG SẢN VIỆT NAM</w:t>
            </w:r>
          </w:p>
        </w:tc>
      </w:tr>
      <w:tr w:rsidR="00C54DC9" w:rsidRPr="00C54DC9" w:rsidTr="00C54DC9">
        <w:trPr>
          <w:tblCellSpacing w:w="0" w:type="dxa"/>
        </w:trPr>
        <w:tc>
          <w:tcPr>
            <w:tcW w:w="4395" w:type="dxa"/>
            <w:shd w:val="clear" w:color="auto" w:fill="auto"/>
            <w:tcMar>
              <w:top w:w="0" w:type="dxa"/>
              <w:left w:w="108" w:type="dxa"/>
              <w:bottom w:w="0" w:type="dxa"/>
              <w:right w:w="108" w:type="dxa"/>
            </w:tcMar>
            <w:vAlign w:val="center"/>
            <w:hideMark/>
          </w:tcPr>
          <w:p w:rsidR="00C54DC9" w:rsidRPr="00C54DC9" w:rsidRDefault="00C54DC9" w:rsidP="00C54DC9">
            <w:pPr>
              <w:spacing w:line="240" w:lineRule="auto"/>
              <w:ind w:firstLine="0"/>
              <w:jc w:val="center"/>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Số: 27-HD/BTGTW</w:t>
            </w:r>
          </w:p>
        </w:tc>
        <w:tc>
          <w:tcPr>
            <w:tcW w:w="5670" w:type="dxa"/>
            <w:shd w:val="clear" w:color="auto" w:fill="auto"/>
            <w:tcMar>
              <w:top w:w="0" w:type="dxa"/>
              <w:left w:w="108" w:type="dxa"/>
              <w:bottom w:w="0" w:type="dxa"/>
              <w:right w:w="108" w:type="dxa"/>
            </w:tcMar>
            <w:vAlign w:val="center"/>
            <w:hideMark/>
          </w:tcPr>
          <w:p w:rsidR="00C54DC9" w:rsidRPr="00C54DC9" w:rsidRDefault="00C54DC9" w:rsidP="00C54DC9">
            <w:pPr>
              <w:spacing w:line="240" w:lineRule="auto"/>
              <w:ind w:firstLine="0"/>
              <w:jc w:val="right"/>
              <w:textAlignment w:val="baseline"/>
              <w:rPr>
                <w:rFonts w:eastAsia="Times New Roman" w:cs="Times New Roman"/>
                <w:color w:val="363636"/>
                <w:sz w:val="26"/>
                <w:szCs w:val="26"/>
              </w:rPr>
            </w:pPr>
            <w:r w:rsidRPr="00C54DC9">
              <w:rPr>
                <w:rFonts w:eastAsia="Times New Roman" w:cs="Times New Roman"/>
                <w:i/>
                <w:iCs/>
                <w:color w:val="363636"/>
                <w:sz w:val="26"/>
                <w:szCs w:val="26"/>
                <w:bdr w:val="none" w:sz="0" w:space="0" w:color="auto" w:frame="1"/>
              </w:rPr>
              <w:t>Hà Nội, ngày 20 tháng 02 năm 2017</w:t>
            </w:r>
          </w:p>
        </w:tc>
      </w:tr>
    </w:tbl>
    <w:p w:rsidR="00C54DC9" w:rsidRPr="00C54DC9" w:rsidRDefault="00C54DC9" w:rsidP="00C54DC9">
      <w:pPr>
        <w:shd w:val="clear" w:color="auto" w:fill="FFFFFF"/>
        <w:spacing w:line="240" w:lineRule="auto"/>
        <w:jc w:val="left"/>
        <w:textAlignment w:val="baseline"/>
        <w:rPr>
          <w:rFonts w:eastAsia="Times New Roman" w:cs="Times New Roman"/>
          <w:color w:val="363636"/>
          <w:sz w:val="26"/>
          <w:szCs w:val="26"/>
        </w:rPr>
      </w:pPr>
      <w:r w:rsidRPr="00C54DC9">
        <w:rPr>
          <w:rFonts w:eastAsia="Times New Roman" w:cs="Times New Roman"/>
          <w:i/>
          <w:iCs/>
          <w:color w:val="363636"/>
          <w:sz w:val="26"/>
          <w:szCs w:val="26"/>
          <w:bdr w:val="none" w:sz="0" w:space="0" w:color="auto" w:frame="1"/>
        </w:rPr>
        <w:t> </w:t>
      </w:r>
    </w:p>
    <w:p w:rsidR="00C54DC9" w:rsidRPr="00C54DC9" w:rsidRDefault="00C54DC9" w:rsidP="00C54DC9">
      <w:pPr>
        <w:shd w:val="clear" w:color="auto" w:fill="FFFFFF"/>
        <w:spacing w:line="240" w:lineRule="auto"/>
        <w:ind w:firstLine="0"/>
        <w:jc w:val="center"/>
        <w:textAlignment w:val="baseline"/>
        <w:rPr>
          <w:rFonts w:eastAsia="Times New Roman" w:cs="Times New Roman"/>
          <w:color w:val="363636"/>
          <w:sz w:val="26"/>
          <w:szCs w:val="26"/>
        </w:rPr>
      </w:pPr>
      <w:r w:rsidRPr="00C54DC9">
        <w:rPr>
          <w:rFonts w:eastAsia="Times New Roman" w:cs="Times New Roman"/>
          <w:b/>
          <w:bCs/>
          <w:color w:val="363636"/>
          <w:sz w:val="26"/>
          <w:szCs w:val="26"/>
          <w:bdr w:val="none" w:sz="0" w:space="0" w:color="auto" w:frame="1"/>
        </w:rPr>
        <w:t>HƯỚNG DẪN</w:t>
      </w:r>
    </w:p>
    <w:p w:rsidR="00C54DC9" w:rsidRPr="00C54DC9" w:rsidRDefault="00C54DC9" w:rsidP="00C54DC9">
      <w:pPr>
        <w:shd w:val="clear" w:color="auto" w:fill="FFFFFF"/>
        <w:spacing w:line="240" w:lineRule="auto"/>
        <w:ind w:firstLine="0"/>
        <w:jc w:val="center"/>
        <w:textAlignment w:val="baseline"/>
        <w:rPr>
          <w:rFonts w:eastAsia="Times New Roman" w:cs="Times New Roman"/>
          <w:color w:val="363636"/>
          <w:sz w:val="26"/>
          <w:szCs w:val="26"/>
        </w:rPr>
      </w:pPr>
      <w:bookmarkStart w:id="0" w:name="_GoBack"/>
      <w:r w:rsidRPr="00C54DC9">
        <w:rPr>
          <w:rFonts w:eastAsia="Times New Roman" w:cs="Times New Roman"/>
          <w:color w:val="363636"/>
          <w:sz w:val="26"/>
          <w:szCs w:val="26"/>
          <w:bdr w:val="none" w:sz="0" w:space="0" w:color="auto" w:frame="1"/>
        </w:rPr>
        <w:t>CÔNG TÁC TUYÊN TRUYỀN VỀ PHÒNG, CHỐNG THAM NHŨNG, LÃNG PHÍ</w:t>
      </w:r>
    </w:p>
    <w:bookmarkEnd w:id="0"/>
    <w:p w:rsidR="00C54DC9" w:rsidRPr="00C54DC9" w:rsidRDefault="00C54DC9" w:rsidP="00C54DC9">
      <w:pPr>
        <w:shd w:val="clear" w:color="auto" w:fill="FFFFFF"/>
        <w:spacing w:line="240" w:lineRule="auto"/>
        <w:jc w:val="center"/>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br/>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Thực hiện </w:t>
      </w:r>
      <w:r w:rsidRPr="00C54DC9">
        <w:rPr>
          <w:rFonts w:eastAsia="Times New Roman" w:cs="Times New Roman"/>
          <w:color w:val="363636"/>
          <w:sz w:val="26"/>
          <w:szCs w:val="26"/>
          <w:bdr w:val="none" w:sz="0" w:space="0" w:color="auto" w:frame="1"/>
          <w:shd w:val="clear" w:color="auto" w:fill="FFFFFF"/>
        </w:rPr>
        <w:t>Kết</w:t>
      </w:r>
      <w:r w:rsidRPr="00C54DC9">
        <w:rPr>
          <w:rFonts w:eastAsia="Times New Roman" w:cs="Times New Roman"/>
          <w:color w:val="363636"/>
          <w:sz w:val="26"/>
          <w:szCs w:val="26"/>
          <w:bdr w:val="none" w:sz="0" w:space="0" w:color="auto" w:frame="1"/>
        </w:rPr>
        <w:t> luận số 10-KL/TW ngày 26/12/2016 của Bộ Chính trị về việc tiếp tục thực hiện Nghị quyết Trung ương 3 khóa X về tăng cường sự lãnh đạo của Đảng đối với công tác phòng, chống tham nhũng, lãng phí, Ban Tuyên giáo Trung ương hướng dẫn công tác tuyên truyền, như sau:</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b/>
          <w:bCs/>
          <w:color w:val="363636"/>
          <w:sz w:val="26"/>
          <w:szCs w:val="26"/>
          <w:bdr w:val="none" w:sz="0" w:space="0" w:color="auto" w:frame="1"/>
        </w:rPr>
        <w:t>I. MỤC ĐÍCH, YÊU CẦU</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1. Tuyên truyền, quán triệt sâu rộng nội dung cơ bản của Nghị quyết Trung ương 3 khóa X về “Tăng cường sự lãnh đạo của Đảng đối với công tác phòng, chống tham nhũng, lãng phí” (gọi tắt là Nghị quyết), Kết luận 21-KL/TW của Hội nghị Trung ương 5 khóa XI (gọi tắt là Kết luận 21) và Kết luận 10-KL/TW của Bộ Chính trị (gọi tắt là Kết luận 10), nhất là mục tiêu, quan điểm, nhiệm vụ, giải pháp về phòng, chống tham nhũng, lãng phí theo tinh thần Kết luận 10-KL/TW nhằm tạo chuyển biến mạnh mẽ về nhận thức và hành động của cán bộ, đảng viên, công chức, viên chức và nhân dân trong phòng, chống tham nhũng, lãng phí.</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2. Công tác tuyên truyền phòng, chống tham nhũng, lãng phí cần được tiến hành nghiêm túc, đồng bộ, bằng nhiều hình thức phù hợp với từng đối tượng, từng thời điểm và tình hình cụ thể; bám sát sự chỉ đạo, định hướng của cấp ủy, ban tuyên giáo các cấp; bảo đảm tính trung thực, khách quan, đúng Quy định của Đảng về chỉ đạo, định hướng thông tin tuyên truyền phòng, chống tham nhũng.</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3. Gắn tuyên truyền thực hiện Nghị quyết, Kết luận 21, Kết luận 10, Chỉ thị 50-CT/TW ngày 07/12/2015 của Bộ Chính trị khóa XI về tăng cường sự lãnh đạo của Đảng đối với công tác phát hiện, xử lý vụ việc, vụ án tham nhũng với tuyên truyền thực hiện Nghị quyết Trung ương 4 khóa XII về xây dựng Đảng và Chỉ thị 05-CT/TW của Bộ Chính trị về học tập và làm theo tư tưởng, đạo đức, phong cách Hồ Chí Minh; với tuyên truyền thực hiện nhiệm vụ chính trị của từng ngành, địa phương, đơn vị.</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b/>
          <w:bCs/>
          <w:color w:val="363636"/>
          <w:sz w:val="26"/>
          <w:szCs w:val="26"/>
          <w:bdr w:val="none" w:sz="0" w:space="0" w:color="auto" w:frame="1"/>
        </w:rPr>
        <w:t>II. NỘI DUNG TUYÊN TRUYỀN</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1. Tập trung tuyên truyền chủ trương của Đảng, chính sách, pháp luật của Nhà nước về phòng, chống tham nhũng, lãng phí, nhất là những nội dung cơ bản của Nghị quyết, Kết luận 21 và Kết luận 10; làm rõ tầm quan trọng của cuộc đấu tranh chống tham nhũng, lãng phí, tạo sự chuyển biến về nhận thức của các cấp ủy Đảng, chính quyền, đoàn thể, cán bộ, đảng viên và các tầng lớp nhân dân về nguy cơ, tác hại của tham nhũng </w:t>
      </w:r>
      <w:r w:rsidRPr="00C54DC9">
        <w:rPr>
          <w:rFonts w:eastAsia="Times New Roman" w:cs="Times New Roman"/>
          <w:color w:val="363636"/>
          <w:sz w:val="26"/>
          <w:szCs w:val="26"/>
          <w:bdr w:val="none" w:sz="0" w:space="0" w:color="auto" w:frame="1"/>
          <w:shd w:val="clear" w:color="auto" w:fill="FFFFFF"/>
        </w:rPr>
        <w:t>đối với</w:t>
      </w:r>
      <w:r w:rsidRPr="00C54DC9">
        <w:rPr>
          <w:rFonts w:eastAsia="Times New Roman" w:cs="Times New Roman"/>
          <w:color w:val="363636"/>
          <w:sz w:val="26"/>
          <w:szCs w:val="26"/>
          <w:bdr w:val="none" w:sz="0" w:space="0" w:color="auto" w:frame="1"/>
        </w:rPr>
        <w:t> việc giữ vững ổn định chính trị, thúc đẩy sự </w:t>
      </w:r>
      <w:r w:rsidRPr="00C54DC9">
        <w:rPr>
          <w:rFonts w:eastAsia="Times New Roman" w:cs="Times New Roman"/>
          <w:color w:val="363636"/>
          <w:sz w:val="26"/>
          <w:szCs w:val="26"/>
          <w:bdr w:val="none" w:sz="0" w:space="0" w:color="auto" w:frame="1"/>
          <w:shd w:val="clear" w:color="auto" w:fill="FFFFFF"/>
        </w:rPr>
        <w:t>phát triển</w:t>
      </w:r>
      <w:r w:rsidRPr="00C54DC9">
        <w:rPr>
          <w:rFonts w:eastAsia="Times New Roman" w:cs="Times New Roman"/>
          <w:color w:val="363636"/>
          <w:sz w:val="26"/>
          <w:szCs w:val="26"/>
          <w:bdr w:val="none" w:sz="0" w:space="0" w:color="auto" w:frame="1"/>
        </w:rPr>
        <w:t xml:space="preserve"> kinh tế - xã hội. Trên cơ sở đó, các cấp ủy đảng, chính quyền và người đứng đầu cơ quan, đơn vị xác định rõ hơn, đấu tranh phòng, chống tham nhũng, lãng phí là nhiệm vụ trọng tâm của công tác xây dựng chỉnh đốn Đảng, là nhiệm vụ thường xuyên, quan trọng, cấp bách; từ đó tăng cường lãnh đạo, chỉ đạo công tác này và nêu cao ý thức trách nhiệm, gương mẫu thực hiện các quy định của Đảng, Nhà nước về phòng, chống tham nhũng, lãng phí. Tạo điều kiện thuận lợi, phù hợp và an toàn </w:t>
      </w:r>
      <w:r w:rsidRPr="00C54DC9">
        <w:rPr>
          <w:rFonts w:eastAsia="Times New Roman" w:cs="Times New Roman"/>
          <w:color w:val="363636"/>
          <w:sz w:val="26"/>
          <w:szCs w:val="26"/>
          <w:bdr w:val="none" w:sz="0" w:space="0" w:color="auto" w:frame="1"/>
        </w:rPr>
        <w:lastRenderedPageBreak/>
        <w:t>để các tầng lớp nhân dân tích cực tham gia phát hiện, tố cáo tham nhũng, lãng phí, phê phán góp phần tạo dư luận xã hội lên án các hành vi tham nhũng, lãng phí và giúp các cấp ủy đảng, chính quyền, cơ quan chức năng kịp thời xử lý, khắc phục.</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2. Tuyên truyền, quán triệt mục tiêu, quan điểm phòng, chống tham nhũng, lãng phí của Kết luận 10-KL/TW. Làm rõ, cụ thể hóa mục tiêu kiên quyết khắc phục những hạn chế, yếu kém, tạo chuyển biến rõ rệt trong 5 năm tới, ngăn chặn, từng bước đẩy lùi tham nhũng, lãng phí.</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Quán triệt sâu sắc 3 quan điểm của Kết luận 10-KL/TW:</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i/>
          <w:iCs/>
          <w:color w:val="363636"/>
          <w:sz w:val="26"/>
          <w:szCs w:val="26"/>
          <w:bdr w:val="none" w:sz="0" w:space="0" w:color="auto" w:frame="1"/>
        </w:rPr>
        <w:t>Một là,</w:t>
      </w:r>
      <w:r w:rsidRPr="00C54DC9">
        <w:rPr>
          <w:rFonts w:eastAsia="Times New Roman" w:cs="Times New Roman"/>
          <w:color w:val="363636"/>
          <w:sz w:val="26"/>
          <w:szCs w:val="26"/>
          <w:bdr w:val="none" w:sz="0" w:space="0" w:color="auto" w:frame="1"/>
        </w:rPr>
        <w:t> phòng ngừa là chính, cơ bản, lâu dài; phát hiện, xử lý là quan trọng, cấp bách. Kết hợp chặt chẽ giữa tích cực phòng ngừa, chủ động phát hiện và kiên quyết xử lý nghiêm minh, kịp thời những người có hành vi tham nhũng, lãng phí, bao che, dung túng, tiếp tay cho tham nhũng, lãng phí, can thiệp, cản trở việc chống tham nhũng, lãng phí; không có vùng cấm, vùng trống, không có ngoại lệ, không có đặc quyền, bất kể người đó là ai.</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i/>
          <w:iCs/>
          <w:color w:val="363636"/>
          <w:sz w:val="26"/>
          <w:szCs w:val="26"/>
          <w:bdr w:val="none" w:sz="0" w:space="0" w:color="auto" w:frame="1"/>
        </w:rPr>
        <w:t>Hai là,</w:t>
      </w:r>
      <w:r w:rsidRPr="00C54DC9">
        <w:rPr>
          <w:rFonts w:eastAsia="Times New Roman" w:cs="Times New Roman"/>
          <w:color w:val="363636"/>
          <w:sz w:val="26"/>
          <w:szCs w:val="26"/>
          <w:bdr w:val="none" w:sz="0" w:space="0" w:color="auto" w:frame="1"/>
        </w:rPr>
        <w:t> phải tiến hành kiên quyết, kiên trì, liên tục với những bước đi vững chắc, tích cực, chủ động và có trọng tâm, trọng điểm. Gắn phòng, chống tham nhũng, lãng phí với xây dựng, chỉnh đốn Đảng, phát huy sức mạnh tổng hợp của cả hệ thống chính trị và toàn dân.</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i/>
          <w:iCs/>
          <w:color w:val="363636"/>
          <w:sz w:val="26"/>
          <w:szCs w:val="26"/>
          <w:bdr w:val="none" w:sz="0" w:space="0" w:color="auto" w:frame="1"/>
        </w:rPr>
        <w:t>Ba là,</w:t>
      </w:r>
      <w:r w:rsidRPr="00C54DC9">
        <w:rPr>
          <w:rFonts w:eastAsia="Times New Roman" w:cs="Times New Roman"/>
          <w:color w:val="363636"/>
          <w:sz w:val="26"/>
          <w:szCs w:val="26"/>
          <w:bdr w:val="none" w:sz="0" w:space="0" w:color="auto" w:frame="1"/>
        </w:rPr>
        <w:t> kiên quyết, kiên trì, khẩn trương xây dựng cơ chế phòng ngừa để không thể tham nhũng; cơ chế răn đe, trừng trị để không dám tham nhũng; cơ chế bảo đảm để không cần tham nhũng.</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3. Tuyên truyền, phổ biến, quán triệt 8 nhóm nhiệm vụ, giải pháp phòng, chống tham nhũng được nêu trong Kết luận 10-KL/TW:</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i/>
          <w:iCs/>
          <w:color w:val="363636"/>
          <w:sz w:val="26"/>
          <w:szCs w:val="26"/>
          <w:bdr w:val="none" w:sz="0" w:space="0" w:color="auto" w:frame="1"/>
        </w:rPr>
        <w:t>Một là,</w:t>
      </w:r>
      <w:r w:rsidRPr="00C54DC9">
        <w:rPr>
          <w:rFonts w:eastAsia="Times New Roman" w:cs="Times New Roman"/>
          <w:color w:val="363636"/>
          <w:sz w:val="26"/>
          <w:szCs w:val="26"/>
          <w:bdr w:val="none" w:sz="0" w:space="0" w:color="auto" w:frame="1"/>
        </w:rPr>
        <w:t> nâng cao vai trò, trách nhiệm và tính tiên phong, gương mẫu của cấp ủy, tổ chức đảng và cán bộ, đảng viên, trước hết là của người đứng đầu.</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i/>
          <w:iCs/>
          <w:color w:val="363636"/>
          <w:sz w:val="26"/>
          <w:szCs w:val="26"/>
          <w:bdr w:val="none" w:sz="0" w:space="0" w:color="auto" w:frame="1"/>
        </w:rPr>
        <w:t>Hai là</w:t>
      </w:r>
      <w:r w:rsidRPr="00C54DC9">
        <w:rPr>
          <w:rFonts w:eastAsia="Times New Roman" w:cs="Times New Roman"/>
          <w:color w:val="363636"/>
          <w:sz w:val="26"/>
          <w:szCs w:val="26"/>
          <w:bdr w:val="none" w:sz="0" w:space="0" w:color="auto" w:frame="1"/>
        </w:rPr>
        <w:t>, tăng cường </w:t>
      </w:r>
      <w:r w:rsidRPr="00C54DC9">
        <w:rPr>
          <w:rFonts w:eastAsia="Times New Roman" w:cs="Times New Roman"/>
          <w:color w:val="363636"/>
          <w:sz w:val="26"/>
          <w:szCs w:val="26"/>
          <w:bdr w:val="none" w:sz="0" w:space="0" w:color="auto" w:frame="1"/>
          <w:shd w:val="clear" w:color="auto" w:fill="FFFFFF"/>
        </w:rPr>
        <w:t>quản lý</w:t>
      </w:r>
      <w:r w:rsidRPr="00C54DC9">
        <w:rPr>
          <w:rFonts w:eastAsia="Times New Roman" w:cs="Times New Roman"/>
          <w:color w:val="363636"/>
          <w:sz w:val="26"/>
          <w:szCs w:val="26"/>
          <w:bdr w:val="none" w:sz="0" w:space="0" w:color="auto" w:frame="1"/>
        </w:rPr>
        <w:t>, giám sát chặt chẽ cán bộ, đảng viên; hoàn thiện, thực hiện nghiêm các quy định về công tác tổ chức, cán bộ làm công tác phòng, chống tham nhũng, lãng phí.</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i/>
          <w:iCs/>
          <w:color w:val="363636"/>
          <w:sz w:val="26"/>
          <w:szCs w:val="26"/>
          <w:bdr w:val="none" w:sz="0" w:space="0" w:color="auto" w:frame="1"/>
        </w:rPr>
        <w:t>Ba là,</w:t>
      </w:r>
      <w:r w:rsidRPr="00C54DC9">
        <w:rPr>
          <w:rFonts w:eastAsia="Times New Roman" w:cs="Times New Roman"/>
          <w:color w:val="363636"/>
          <w:sz w:val="26"/>
          <w:szCs w:val="26"/>
          <w:bdr w:val="none" w:sz="0" w:space="0" w:color="auto" w:frame="1"/>
        </w:rPr>
        <w:t> kiểm soát có hiệu quả tài sản, thu nhập của người có chức vụ, quyền hạn; thực hiện nghiêm các quy định về công khai, minh bạch và trách nhiệm giải </w:t>
      </w:r>
      <w:r w:rsidRPr="00C54DC9">
        <w:rPr>
          <w:rFonts w:eastAsia="Times New Roman" w:cs="Times New Roman"/>
          <w:color w:val="363636"/>
          <w:sz w:val="26"/>
          <w:szCs w:val="26"/>
          <w:bdr w:val="none" w:sz="0" w:space="0" w:color="auto" w:frame="1"/>
          <w:shd w:val="clear" w:color="auto" w:fill="FFFFFF"/>
        </w:rPr>
        <w:t>trình</w:t>
      </w:r>
      <w:r w:rsidRPr="00C54DC9">
        <w:rPr>
          <w:rFonts w:eastAsia="Times New Roman" w:cs="Times New Roman"/>
          <w:color w:val="363636"/>
          <w:sz w:val="26"/>
          <w:szCs w:val="26"/>
          <w:bdr w:val="none" w:sz="0" w:space="0" w:color="auto" w:frame="1"/>
        </w:rPr>
        <w:t> trong hoạt động công vụ.</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i/>
          <w:iCs/>
          <w:color w:val="363636"/>
          <w:sz w:val="26"/>
          <w:szCs w:val="26"/>
          <w:bdr w:val="none" w:sz="0" w:space="0" w:color="auto" w:frame="1"/>
        </w:rPr>
        <w:t>Bốn là,</w:t>
      </w:r>
      <w:r w:rsidRPr="00C54DC9">
        <w:rPr>
          <w:rFonts w:eastAsia="Times New Roman" w:cs="Times New Roman"/>
          <w:color w:val="363636"/>
          <w:sz w:val="26"/>
          <w:szCs w:val="26"/>
          <w:bdr w:val="none" w:sz="0" w:space="0" w:color="auto" w:frame="1"/>
        </w:rPr>
        <w:t> tập trung lãnh đạo, chỉ đạo việc rà soát, bổ sung, sửa đổi, xây dựng, ban hành các quy định của Đảng và chính sách, pháp luật của Nhà nước để bảo đảm hiệu lực, hiệu quả của công tác phòng, chống tham nhũng, lãng phí.</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i/>
          <w:iCs/>
          <w:color w:val="363636"/>
          <w:sz w:val="26"/>
          <w:szCs w:val="26"/>
          <w:bdr w:val="none" w:sz="0" w:space="0" w:color="auto" w:frame="1"/>
        </w:rPr>
        <w:t>Năm là,</w:t>
      </w:r>
      <w:r w:rsidRPr="00C54DC9">
        <w:rPr>
          <w:rFonts w:eastAsia="Times New Roman" w:cs="Times New Roman"/>
          <w:color w:val="363636"/>
          <w:sz w:val="26"/>
          <w:szCs w:val="26"/>
          <w:bdr w:val="none" w:sz="0" w:space="0" w:color="auto" w:frame="1"/>
        </w:rPr>
        <w:t> tập trung lãnh đạo, chỉ đạo phát hiện, xử lý nghiêm minh, kịp thời các vụ án, vụ việc tham nhũng, lãng phí; thực hiện tốt công tác giám định và nâng cao hiệu quả thu hồi tài sản tham nhũng, lãng phí.</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i/>
          <w:iCs/>
          <w:color w:val="363636"/>
          <w:sz w:val="26"/>
          <w:szCs w:val="26"/>
          <w:bdr w:val="none" w:sz="0" w:space="0" w:color="auto" w:frame="1"/>
        </w:rPr>
        <w:t>Sáu là,</w:t>
      </w:r>
      <w:r w:rsidRPr="00C54DC9">
        <w:rPr>
          <w:rFonts w:eastAsia="Times New Roman" w:cs="Times New Roman"/>
          <w:color w:val="363636"/>
          <w:sz w:val="26"/>
          <w:szCs w:val="26"/>
          <w:bdr w:val="none" w:sz="0" w:space="0" w:color="auto" w:frame="1"/>
        </w:rPr>
        <w:t> nâng cao hiệu quả công tác kiểm tra, giám sát, kiểm soát quyền lực để ngăn ngừa tham nhũng, lãng phí; xây dựng văn hóa tiết kiệm, không tham nhũng, lãng phí.</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i/>
          <w:iCs/>
          <w:color w:val="363636"/>
          <w:sz w:val="26"/>
          <w:szCs w:val="26"/>
          <w:bdr w:val="none" w:sz="0" w:space="0" w:color="auto" w:frame="1"/>
        </w:rPr>
        <w:t>Bảy là,</w:t>
      </w:r>
      <w:r w:rsidRPr="00C54DC9">
        <w:rPr>
          <w:rFonts w:eastAsia="Times New Roman" w:cs="Times New Roman"/>
          <w:color w:val="363636"/>
          <w:sz w:val="26"/>
          <w:szCs w:val="26"/>
          <w:bdr w:val="none" w:sz="0" w:space="0" w:color="auto" w:frame="1"/>
        </w:rPr>
        <w:t> tiếp tục kiện toàn tổ chức bộ máy và chức năng, nhiệm vụ của các cơ quan, đơn vị có chức năng phòng, chống tham nhũng.</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i/>
          <w:iCs/>
          <w:color w:val="363636"/>
          <w:sz w:val="26"/>
          <w:szCs w:val="26"/>
          <w:bdr w:val="none" w:sz="0" w:space="0" w:color="auto" w:frame="1"/>
        </w:rPr>
        <w:t>Tám là,</w:t>
      </w:r>
      <w:r w:rsidRPr="00C54DC9">
        <w:rPr>
          <w:rFonts w:eastAsia="Times New Roman" w:cs="Times New Roman"/>
          <w:color w:val="363636"/>
          <w:sz w:val="26"/>
          <w:szCs w:val="26"/>
          <w:bdr w:val="none" w:sz="0" w:space="0" w:color="auto" w:frame="1"/>
        </w:rPr>
        <w:t> từng bước mở rộng hoạt động phòng, chống tham nhũng ra khu vực ngoài nhà nước; mở rộng và nâng cao hiệu quả hợp tác quốc tế về phòng, chống tham nhũng.</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 xml:space="preserve">Gắn tuyên truyền thực hiện các nhiệm vụ, giải pháp phòng, chống tham nhũng, lãng phí với tuyên truyền triển khai thực hiện Nghị quyết Trung ương 4 khóa XII về xây dựng Đảng và Chỉ thị 05-CT/TW của Bộ Chính trị về đẩy mạnh học tập, làm theo tư tưởng, đạo đức, phong cách Hồ Chí Minh. Qua đó đẩy mạnh công tác giáo dục chính trị, tư </w:t>
      </w:r>
      <w:r w:rsidRPr="00C54DC9">
        <w:rPr>
          <w:rFonts w:eastAsia="Times New Roman" w:cs="Times New Roman"/>
          <w:color w:val="363636"/>
          <w:sz w:val="26"/>
          <w:szCs w:val="26"/>
          <w:bdr w:val="none" w:sz="0" w:space="0" w:color="auto" w:frame="1"/>
        </w:rPr>
        <w:lastRenderedPageBreak/>
        <w:t>tưởng, đạo đức, lối sống trong cán bộ, đảng viên; tạo chuyển biến về tu dưỡng, rèn luyện, nâng cao đạo đức cách mạng của cán bộ, đảng viên và nhân dân, khuyến khích tự tu dưỡng, rèn luyện, đẩy lùi sự suy </w:t>
      </w:r>
      <w:r w:rsidRPr="00C54DC9">
        <w:rPr>
          <w:rFonts w:eastAsia="Times New Roman" w:cs="Times New Roman"/>
          <w:color w:val="363636"/>
          <w:sz w:val="26"/>
          <w:szCs w:val="26"/>
          <w:bdr w:val="none" w:sz="0" w:space="0" w:color="auto" w:frame="1"/>
          <w:shd w:val="clear" w:color="auto" w:fill="FFFFFF"/>
        </w:rPr>
        <w:t>thoái</w:t>
      </w:r>
      <w:r w:rsidRPr="00C54DC9">
        <w:rPr>
          <w:rFonts w:eastAsia="Times New Roman" w:cs="Times New Roman"/>
          <w:color w:val="363636"/>
          <w:sz w:val="26"/>
          <w:szCs w:val="26"/>
          <w:bdr w:val="none" w:sz="0" w:space="0" w:color="auto" w:frame="1"/>
        </w:rPr>
        <w:t> về tư tưởng chính trị, đạo đức, lối sống, phòng, chống các biểu hiện “tự diễn biến”, “tự chuyển hóa"; thực hiện nghiêm túc phương châm: “Đảng viên phải gương mẫu hơn quần chúng, cán bộ phải gương mẫu hơn nhân viên, cán bộ giữ chức vụ càng cao càng phải gương mẫu”; xây dựng văn hóa tiết kiệm, không tham nhũng, lãng phí, trước hết là trong cán bộ, đảng viên, công chức, viên chức. Triển khai các nhiệm vụ, giải pháp cần gắn với trách nhiệm quản lý về mặt nhà nước của mỗi bộ, ngành, địa phương, mỗi cơ quan, đơn vị để thực hiện có hiệu quả cuộc đấu tranh phòng, chống tham nhũng, lãng phí trong Đảng, trong xã hội.</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4. Tuyên truyền kết quả phòng, chống tham nhũng, lãng phí của các ban, bộ, ngành, địa phương và cả nước; kết quả thanh tra, kiểm tra các vụ việc và điều tra, truy tố, xét xử các vụ án liên quan đến tham nhũng; kết quả xử lý các vụ việc, đối tượng thuộc phạm vi kiểm tra, giám sát </w:t>
      </w:r>
      <w:r w:rsidRPr="00C54DC9">
        <w:rPr>
          <w:rFonts w:eastAsia="Times New Roman" w:cs="Times New Roman"/>
          <w:color w:val="363636"/>
          <w:sz w:val="26"/>
          <w:szCs w:val="26"/>
          <w:bdr w:val="none" w:sz="0" w:space="0" w:color="auto" w:frame="1"/>
          <w:shd w:val="clear" w:color="auto" w:fill="FFFFFF"/>
        </w:rPr>
        <w:t>của</w:t>
      </w:r>
      <w:r w:rsidRPr="00C54DC9">
        <w:rPr>
          <w:rFonts w:eastAsia="Times New Roman" w:cs="Times New Roman"/>
          <w:color w:val="363636"/>
          <w:sz w:val="26"/>
          <w:szCs w:val="26"/>
          <w:bdr w:val="none" w:sz="0" w:space="0" w:color="auto" w:frame="1"/>
        </w:rPr>
        <w:t> Đảng về phòng, chống tham nhũng, lãng phí, góp phần tạo niềm tin của nhân dân vào quyết tâm chính trị của Đảng và kết quả đấu tranh phòng, chống tham nhũng, lãng phí; giới thiệu, biểu dương gương người tốt, việc tốt, tập thể, cá nhân điển hình trong đấu tranh phòng, chống tham nhũng, lãng phí.</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5. Đấu tranh, phản bác các thông tin, quan điểm sai trái của các thế lực thù địch: Đẩy mạnh việc đấu tranh, phản bác các luận điệu vu cáo, xuyên tạc của các thế lực thù định, phần tử phản động, cơ hội chính trị về tình hình tham nhũng, lãng phí ở Việt Nam; âm mưu lợi dụng vấn đề tham nhũng, lãng phí để “bôi nhọ” chế độ, chống phá cách mạng Việt Nam, chia rẽ, gây mất đoàn kết nội bộ, làm suy giảm lòng tin của nhân dân đối với Đảng, Nhà nước.</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b/>
          <w:bCs/>
          <w:color w:val="363636"/>
          <w:sz w:val="26"/>
          <w:szCs w:val="26"/>
          <w:bdr w:val="none" w:sz="0" w:space="0" w:color="auto" w:frame="1"/>
        </w:rPr>
        <w:t>III. TỔ CHỨC THỰC HIỆN</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b/>
          <w:bCs/>
          <w:i/>
          <w:iCs/>
          <w:color w:val="363636"/>
          <w:sz w:val="26"/>
          <w:szCs w:val="26"/>
          <w:bdr w:val="none" w:sz="0" w:space="0" w:color="auto" w:frame="1"/>
        </w:rPr>
        <w:t>1. Ban Tuyên giáo Trung ương</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Chủ trì, phối hợp với các ban, bộ, ngành liên quan, chỉ đạo Ban Tuyên giáo các cấp, các cơ quan truyền thông, đội ngũ báo cáo viên, tuyên truyền viên thường xuyên tuyên truyền về phòng, chống tham nhũng, lãng phí và triển khai thực hiện nghiêm túc, có hiệu quả Quy định 65-QĐ/TW ngày 03-02-2017 của Ban Bí thư về chỉ đạo, định hướng, cung cấp thông tin tuyên truyền phòng, chống tham nhũng, lãng phí.</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 Phối hợp với Ban Nội chính Trung ương và các cơ quan liên quan định hướng, cung cấp kịp thời thông tin, tài liệu về tình hình, kết quả phòng, chống tham nhũng, lãng phí và những vụ việc phức tạp được dư luận xã hội quan tâm.</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b/>
          <w:bCs/>
          <w:i/>
          <w:iCs/>
          <w:color w:val="363636"/>
          <w:sz w:val="26"/>
          <w:szCs w:val="26"/>
          <w:bdr w:val="none" w:sz="0" w:space="0" w:color="auto" w:frame="1"/>
        </w:rPr>
        <w:t>2. Ban Tuyên giáo các tỉnh ủy, thành </w:t>
      </w:r>
      <w:r w:rsidRPr="00C54DC9">
        <w:rPr>
          <w:rFonts w:eastAsia="Times New Roman" w:cs="Times New Roman"/>
          <w:b/>
          <w:bCs/>
          <w:i/>
          <w:iCs/>
          <w:color w:val="363636"/>
          <w:sz w:val="26"/>
          <w:szCs w:val="26"/>
          <w:bdr w:val="none" w:sz="0" w:space="0" w:color="auto" w:frame="1"/>
          <w:shd w:val="clear" w:color="auto" w:fill="FFFFFF"/>
        </w:rPr>
        <w:t>ủy</w:t>
      </w:r>
      <w:r w:rsidRPr="00C54DC9">
        <w:rPr>
          <w:rFonts w:eastAsia="Times New Roman" w:cs="Times New Roman"/>
          <w:b/>
          <w:bCs/>
          <w:i/>
          <w:iCs/>
          <w:color w:val="363636"/>
          <w:sz w:val="26"/>
          <w:szCs w:val="26"/>
          <w:bdr w:val="none" w:sz="0" w:space="0" w:color="auto" w:frame="1"/>
        </w:rPr>
        <w:t>, đảng </w:t>
      </w:r>
      <w:r w:rsidRPr="00C54DC9">
        <w:rPr>
          <w:rFonts w:eastAsia="Times New Roman" w:cs="Times New Roman"/>
          <w:b/>
          <w:bCs/>
          <w:i/>
          <w:iCs/>
          <w:color w:val="363636"/>
          <w:sz w:val="26"/>
          <w:szCs w:val="26"/>
          <w:bdr w:val="none" w:sz="0" w:space="0" w:color="auto" w:frame="1"/>
          <w:shd w:val="clear" w:color="auto" w:fill="FFFFFF"/>
        </w:rPr>
        <w:t>ủy</w:t>
      </w:r>
      <w:r w:rsidRPr="00C54DC9">
        <w:rPr>
          <w:rFonts w:eastAsia="Times New Roman" w:cs="Times New Roman"/>
          <w:b/>
          <w:bCs/>
          <w:i/>
          <w:iCs/>
          <w:color w:val="363636"/>
          <w:sz w:val="26"/>
          <w:szCs w:val="26"/>
          <w:bdr w:val="none" w:sz="0" w:space="0" w:color="auto" w:frame="1"/>
        </w:rPr>
        <w:t> trực thuộc Trung ương, Mặt trận Tổ quốc Việt Nam và các đoàn thể chính trị xã hội ở Trung ương</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 Tham mưu giúp cấp </w:t>
      </w:r>
      <w:r w:rsidRPr="00C54DC9">
        <w:rPr>
          <w:rFonts w:eastAsia="Times New Roman" w:cs="Times New Roman"/>
          <w:color w:val="363636"/>
          <w:sz w:val="26"/>
          <w:szCs w:val="26"/>
          <w:bdr w:val="none" w:sz="0" w:space="0" w:color="auto" w:frame="1"/>
          <w:shd w:val="clear" w:color="auto" w:fill="FFFFFF"/>
        </w:rPr>
        <w:t>ủy</w:t>
      </w:r>
      <w:r w:rsidRPr="00C54DC9">
        <w:rPr>
          <w:rFonts w:eastAsia="Times New Roman" w:cs="Times New Roman"/>
          <w:color w:val="363636"/>
          <w:sz w:val="26"/>
          <w:szCs w:val="26"/>
          <w:bdr w:val="none" w:sz="0" w:space="0" w:color="auto" w:frame="1"/>
        </w:rPr>
        <w:t> xây dựng kế hoạch và chỉ đạo tuyên truyền, phổ biến, quán triệt Nghị quyết và các Kết luận 21-KL/TW, Kết luận 10-KL/TW cho cấp ủy, cán bộ chủ chốt các cấp, đến từng chi bộ và các tổ chức chính trị - xã hội, các đoàn thể nhân dân và mỗi cán bộ, đảng viên bằng các hình thức </w:t>
      </w:r>
      <w:r w:rsidRPr="00C54DC9">
        <w:rPr>
          <w:rFonts w:eastAsia="Times New Roman" w:cs="Times New Roman"/>
          <w:color w:val="363636"/>
          <w:sz w:val="26"/>
          <w:szCs w:val="26"/>
          <w:bdr w:val="none" w:sz="0" w:space="0" w:color="auto" w:frame="1"/>
          <w:shd w:val="clear" w:color="auto" w:fill="FFFFFF"/>
        </w:rPr>
        <w:t>phù hợp</w:t>
      </w:r>
      <w:r w:rsidRPr="00C54DC9">
        <w:rPr>
          <w:rFonts w:eastAsia="Times New Roman" w:cs="Times New Roman"/>
          <w:color w:val="363636"/>
          <w:sz w:val="26"/>
          <w:szCs w:val="26"/>
          <w:bdr w:val="none" w:sz="0" w:space="0" w:color="auto" w:frame="1"/>
        </w:rPr>
        <w:t>, như: Tài liệu thông báo nội bộ; bản tin, thông qua hệ thống báo, đài; đội ngũ báo cáo viên, tuyên truyền viên; sinh hoạt chi bộ, sinh hoạt đoàn, hội... để tạo sự thống nhất cao trong nhận thức và hành động. </w:t>
      </w:r>
      <w:r w:rsidRPr="00C54DC9">
        <w:rPr>
          <w:rFonts w:eastAsia="Times New Roman" w:cs="Times New Roman"/>
          <w:color w:val="363636"/>
          <w:sz w:val="26"/>
          <w:szCs w:val="26"/>
          <w:bdr w:val="none" w:sz="0" w:space="0" w:color="auto" w:frame="1"/>
          <w:shd w:val="clear" w:color="auto" w:fill="FFFFFF"/>
        </w:rPr>
        <w:t>Kế hoạch</w:t>
      </w:r>
      <w:r w:rsidRPr="00C54DC9">
        <w:rPr>
          <w:rFonts w:eastAsia="Times New Roman" w:cs="Times New Roman"/>
          <w:color w:val="363636"/>
          <w:sz w:val="26"/>
          <w:szCs w:val="26"/>
          <w:bdr w:val="none" w:sz="0" w:space="0" w:color="auto" w:frame="1"/>
        </w:rPr>
        <w:t> tuyên truyền cần nêu rõ công việc phải làm, phân công đơn vị, cá nhân phụ trách, lộ trình, điều kiện thực hiện. Hàng năm có đánh giá, rút kinh nghiệm, bổ sung kế hoạch cho những năm tiếp theo.</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 Tham mưu cấp ủy tổ chức Hội nghị quán triệt gắn với xây dựng kế hoạch tổ chức thực hiện Kết luận 10-KL/TW của cấp ủy từng cấp.</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lastRenderedPageBreak/>
        <w:t>- Tăng cường công tác </w:t>
      </w:r>
      <w:r w:rsidRPr="00C54DC9">
        <w:rPr>
          <w:rFonts w:eastAsia="Times New Roman" w:cs="Times New Roman"/>
          <w:color w:val="363636"/>
          <w:sz w:val="26"/>
          <w:szCs w:val="26"/>
          <w:bdr w:val="none" w:sz="0" w:space="0" w:color="auto" w:frame="1"/>
          <w:shd w:val="clear" w:color="auto" w:fill="FFFFFF"/>
        </w:rPr>
        <w:t>chỉ đạo</w:t>
      </w:r>
      <w:r w:rsidRPr="00C54DC9">
        <w:rPr>
          <w:rFonts w:eastAsia="Times New Roman" w:cs="Times New Roman"/>
          <w:color w:val="363636"/>
          <w:sz w:val="26"/>
          <w:szCs w:val="26"/>
          <w:bdr w:val="none" w:sz="0" w:space="0" w:color="auto" w:frame="1"/>
        </w:rPr>
        <w:t>, định hướng đội ngũ tuyên truyền viên, báo cáo viên và các cơ quan báo chí của ngành, địa phương mình tuyên truyền đầy đủ, kịp thời các nội dung cơ bản của Nghị quyết, Kết luận 21-KL/TW và Kết luận 10-KL/TW.</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 Thường xuyên theo dõi, nắm tình hình tư tưởng, dư luận xã hội trong cán bộ, đảng viên và nhân dân, kịp thời phát hiện những vấn đề nảy sinh trong quá trình triển khai thực hiện Nghị quyết và các kết luận để tham mưu cho cấp </w:t>
      </w:r>
      <w:r w:rsidRPr="00C54DC9">
        <w:rPr>
          <w:rFonts w:eastAsia="Times New Roman" w:cs="Times New Roman"/>
          <w:color w:val="363636"/>
          <w:sz w:val="26"/>
          <w:szCs w:val="26"/>
          <w:bdr w:val="none" w:sz="0" w:space="0" w:color="auto" w:frame="1"/>
          <w:shd w:val="clear" w:color="auto" w:fill="FFFFFF"/>
        </w:rPr>
        <w:t>ủy</w:t>
      </w:r>
      <w:r w:rsidRPr="00C54DC9">
        <w:rPr>
          <w:rFonts w:eastAsia="Times New Roman" w:cs="Times New Roman"/>
          <w:color w:val="363636"/>
          <w:sz w:val="26"/>
          <w:szCs w:val="26"/>
          <w:bdr w:val="none" w:sz="0" w:space="0" w:color="auto" w:frame="1"/>
        </w:rPr>
        <w:t> xử lý, giải quyết.</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 Phối hợp với Ban Nội chính tỉnh, thành ủy và các cơ quan liên quan định hướng và cung cấp kịp thời thông tin, tài liệu về tình hình, kết quả phòng, chống tham nhũng, lãng phí trên địa bàn và những vụ việc phức tạp được dư luận xã hội quan tâm.</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b/>
          <w:bCs/>
          <w:i/>
          <w:iCs/>
          <w:color w:val="363636"/>
          <w:sz w:val="26"/>
          <w:szCs w:val="26"/>
          <w:bdr w:val="none" w:sz="0" w:space="0" w:color="auto" w:frame="1"/>
        </w:rPr>
        <w:t>3. Các cơ quan thông tấn, báo chí Trung ương và địa phương</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 Các cơ quan báo chí, trên cơ sở Hướng dẫn này, đồng thời bám sát sự chỉ đạo của Ban Tuyên giáo Trung ương, Bộ Thông tin và Truyền thông, của các cơ quan chủ quản, xây dựng kế hoạch tuyên truyền phòng, chống tham nhũng, lãng phí sát hợp với tôn chỉ, mục đích, nhiệm vụ chính trị được giao. Mở chuyên trang, chuyên mục, dành thời lượng, dung lượng thỏa đáng cho công tác thông tin, tuyên truyền về phòng, chống tham nhũng, lãng phí với những hình thức đa dạng như: tin tức, phóng sự, phóng sự điều tra, ghi chép, thông tin chính sách pháp luật, phim tài liệu..., nhằm bảo đảm các nội dung phản ánh nhanh chóng, kịp thời, mang tính toàn diện và sâu sắc.</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 Các cơ quan quan báo chí cần phát huy tính chủ động, sáng tạo, tính chiến đấu trong nhiệm vụ thông tin, tuyên truyền, tích cực, chủ động tham gia phát hiện các biểu hiện, các hành vi tham nhũng, lãng phí; thông tin kịp thời, chính xác, trung thực cho các cơ quan chức năng; lên án, đấu tranh không khoan nhượng đối với các biểu hiện, hành vi tham nhũng lãng phí và các hành vi bao che cho tham nhũng, lãng phí; thực hiện chức năng giám sát, tạo dư luận xã hội để đấu tranh phòng, chống tham nhũng, lãng phí, bảo vệ người đấu tranh chống tham nhũng, lãng phí. Việc thông tin cần thực hiện đúng </w:t>
      </w:r>
      <w:r w:rsidRPr="00C54DC9">
        <w:rPr>
          <w:rFonts w:eastAsia="Times New Roman" w:cs="Times New Roman"/>
          <w:color w:val="363636"/>
          <w:sz w:val="26"/>
          <w:szCs w:val="26"/>
          <w:bdr w:val="none" w:sz="0" w:space="0" w:color="auto" w:frame="1"/>
          <w:shd w:val="clear" w:color="auto" w:fill="FFFFFF"/>
        </w:rPr>
        <w:t>chỉ đạo</w:t>
      </w:r>
      <w:r w:rsidRPr="00C54DC9">
        <w:rPr>
          <w:rFonts w:eastAsia="Times New Roman" w:cs="Times New Roman"/>
          <w:color w:val="363636"/>
          <w:sz w:val="26"/>
          <w:szCs w:val="26"/>
          <w:bdr w:val="none" w:sz="0" w:space="0" w:color="auto" w:frame="1"/>
        </w:rPr>
        <w:t>, định h</w:t>
      </w:r>
      <w:r w:rsidRPr="00C54DC9">
        <w:rPr>
          <w:rFonts w:eastAsia="Times New Roman" w:cs="Times New Roman"/>
          <w:color w:val="363636"/>
          <w:sz w:val="26"/>
          <w:szCs w:val="26"/>
          <w:bdr w:val="none" w:sz="0" w:space="0" w:color="auto" w:frame="1"/>
          <w:shd w:val="clear" w:color="auto" w:fill="FFFFFF"/>
        </w:rPr>
        <w:t>ướ</w:t>
      </w:r>
      <w:r w:rsidRPr="00C54DC9">
        <w:rPr>
          <w:rFonts w:eastAsia="Times New Roman" w:cs="Times New Roman"/>
          <w:color w:val="363636"/>
          <w:sz w:val="26"/>
          <w:szCs w:val="26"/>
          <w:bdr w:val="none" w:sz="0" w:space="0" w:color="auto" w:frame="1"/>
        </w:rPr>
        <w:t>ng, không suy diễn, chủ quan, đưa thông tin một chiều, sai lệch; đưa tin, bài về phòng, chống tham nhũng, lãng phí theo kiểu giật gân, câu khách, suy diễn, võ đoán, thiếu tính giáo dục, tính định hướng; nghiêm cấm việc lợi dụng cung cấp thông tin tuyên truyền về phòng, chống tham nhũng, lãng phí để vu khống, gây mất đoàn kết nội bộ.</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 Chú trọng giới thiệu, biểu dương các gương điển hình tiên tiến, người tốt, việc tốt; động viên, cổ vũ các tầng lớp nhân dân tích cực tham gia phòng, chống tham nhũng, lãng phí. Đấu tranh, phản bác những luận điệu tuyên truyền vu cáo, xuyên tạc của các thế lực cơ hội, thù địch về phòng, chống tham nhũng, lãng phí, gây mất niềm tin của nhân dân đối với Đảng, Nhà nước và chế độ.</w:t>
      </w:r>
    </w:p>
    <w:p w:rsidR="00C54DC9" w:rsidRPr="00C54DC9" w:rsidRDefault="00C54DC9" w:rsidP="00C54DC9">
      <w:pPr>
        <w:shd w:val="clear" w:color="auto" w:fill="FFFFFF"/>
        <w:spacing w:line="240" w:lineRule="auto"/>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Ban Tuyên giáo Trung ương đề nghị các cấp </w:t>
      </w:r>
      <w:r w:rsidRPr="00C54DC9">
        <w:rPr>
          <w:rFonts w:eastAsia="Times New Roman" w:cs="Times New Roman"/>
          <w:color w:val="363636"/>
          <w:sz w:val="26"/>
          <w:szCs w:val="26"/>
          <w:bdr w:val="none" w:sz="0" w:space="0" w:color="auto" w:frame="1"/>
          <w:shd w:val="clear" w:color="auto" w:fill="FFFFFF"/>
        </w:rPr>
        <w:t>ủy</w:t>
      </w:r>
      <w:r w:rsidRPr="00C54DC9">
        <w:rPr>
          <w:rFonts w:eastAsia="Times New Roman" w:cs="Times New Roman"/>
          <w:color w:val="363636"/>
          <w:sz w:val="26"/>
          <w:szCs w:val="26"/>
          <w:bdr w:val="none" w:sz="0" w:space="0" w:color="auto" w:frame="1"/>
        </w:rPr>
        <w:t> đảng, Ban Tuyên giáo các tỉnh </w:t>
      </w:r>
      <w:r w:rsidRPr="00C54DC9">
        <w:rPr>
          <w:rFonts w:eastAsia="Times New Roman" w:cs="Times New Roman"/>
          <w:color w:val="363636"/>
          <w:sz w:val="26"/>
          <w:szCs w:val="26"/>
          <w:bdr w:val="none" w:sz="0" w:space="0" w:color="auto" w:frame="1"/>
          <w:shd w:val="clear" w:color="auto" w:fill="FFFFFF"/>
        </w:rPr>
        <w:t>ủy</w:t>
      </w:r>
      <w:r w:rsidRPr="00C54DC9">
        <w:rPr>
          <w:rFonts w:eastAsia="Times New Roman" w:cs="Times New Roman"/>
          <w:color w:val="363636"/>
          <w:sz w:val="26"/>
          <w:szCs w:val="26"/>
          <w:bdr w:val="none" w:sz="0" w:space="0" w:color="auto" w:frame="1"/>
        </w:rPr>
        <w:t>, thành </w:t>
      </w:r>
      <w:r w:rsidRPr="00C54DC9">
        <w:rPr>
          <w:rFonts w:eastAsia="Times New Roman" w:cs="Times New Roman"/>
          <w:color w:val="363636"/>
          <w:sz w:val="26"/>
          <w:szCs w:val="26"/>
          <w:bdr w:val="none" w:sz="0" w:space="0" w:color="auto" w:frame="1"/>
          <w:shd w:val="clear" w:color="auto" w:fill="FFFFFF"/>
        </w:rPr>
        <w:t>ủy</w:t>
      </w:r>
      <w:r w:rsidRPr="00C54DC9">
        <w:rPr>
          <w:rFonts w:eastAsia="Times New Roman" w:cs="Times New Roman"/>
          <w:color w:val="363636"/>
          <w:sz w:val="26"/>
          <w:szCs w:val="26"/>
          <w:bdr w:val="none" w:sz="0" w:space="0" w:color="auto" w:frame="1"/>
        </w:rPr>
        <w:t>, các đảng </w:t>
      </w:r>
      <w:r w:rsidRPr="00C54DC9">
        <w:rPr>
          <w:rFonts w:eastAsia="Times New Roman" w:cs="Times New Roman"/>
          <w:color w:val="363636"/>
          <w:sz w:val="26"/>
          <w:szCs w:val="26"/>
          <w:bdr w:val="none" w:sz="0" w:space="0" w:color="auto" w:frame="1"/>
          <w:shd w:val="clear" w:color="auto" w:fill="FFFFFF"/>
        </w:rPr>
        <w:t>ủy</w:t>
      </w:r>
      <w:r w:rsidRPr="00C54DC9">
        <w:rPr>
          <w:rFonts w:eastAsia="Times New Roman" w:cs="Times New Roman"/>
          <w:color w:val="363636"/>
          <w:sz w:val="26"/>
          <w:szCs w:val="26"/>
          <w:bdr w:val="none" w:sz="0" w:space="0" w:color="auto" w:frame="1"/>
        </w:rPr>
        <w:t> trực thuộc Trung ương, Mặt trận Tổ quốc Việt Nam và các đoàn thể chính trị - xã hội, các cơ quan thông tin đại chúng ở Trung ương và địa phương phối hợp với Ban Tuyên giáo Trung ương và ngành tuyên giáo cả nước nghiêm túc triển khai các hoạt động tuyên truyền Nghị quyết và các Kết luận này, góp phần quan trọng đưa nội dung Kết luận 10-KL/TW vào cuộc sống; xây dựng Đảng, Nhà nước ta ngày càng trong sạch, vững mạnh, xây dựng xã hội lành mạnh, công bằng.</w:t>
      </w:r>
    </w:p>
    <w:p w:rsidR="00C54DC9" w:rsidRPr="00C54DC9" w:rsidRDefault="00C54DC9" w:rsidP="00C54DC9">
      <w:pPr>
        <w:shd w:val="clear" w:color="auto" w:fill="FFFFFF"/>
        <w:spacing w:line="240" w:lineRule="auto"/>
        <w:jc w:val="left"/>
        <w:textAlignment w:val="baseline"/>
        <w:rPr>
          <w:rFonts w:eastAsia="Times New Roman" w:cs="Times New Roman"/>
          <w:color w:val="363636"/>
          <w:sz w:val="26"/>
          <w:szCs w:val="26"/>
        </w:rPr>
      </w:pPr>
      <w:r w:rsidRPr="00C54DC9">
        <w:rPr>
          <w:rFonts w:eastAsia="Times New Roman" w:cs="Times New Roman"/>
          <w:color w:val="363636"/>
          <w:sz w:val="26"/>
          <w:szCs w:val="26"/>
          <w:bdr w:val="none" w:sz="0" w:space="0" w:color="auto" w:frame="1"/>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18"/>
        <w:gridCol w:w="4787"/>
      </w:tblGrid>
      <w:tr w:rsidR="00C54DC9" w:rsidRPr="00C54DC9" w:rsidTr="00C54DC9">
        <w:trPr>
          <w:tblCellSpacing w:w="0" w:type="dxa"/>
        </w:trPr>
        <w:tc>
          <w:tcPr>
            <w:tcW w:w="6384" w:type="dxa"/>
            <w:shd w:val="clear" w:color="auto" w:fill="auto"/>
            <w:tcMar>
              <w:top w:w="0" w:type="dxa"/>
              <w:left w:w="108" w:type="dxa"/>
              <w:bottom w:w="0" w:type="dxa"/>
              <w:right w:w="108" w:type="dxa"/>
            </w:tcMar>
            <w:vAlign w:val="center"/>
            <w:hideMark/>
          </w:tcPr>
          <w:p w:rsidR="00C54DC9" w:rsidRPr="00C54DC9" w:rsidRDefault="00C54DC9" w:rsidP="00C54DC9">
            <w:pPr>
              <w:spacing w:before="120" w:line="240" w:lineRule="auto"/>
              <w:jc w:val="left"/>
              <w:textAlignment w:val="baseline"/>
              <w:rPr>
                <w:rFonts w:eastAsia="Times New Roman" w:cs="Times New Roman"/>
                <w:color w:val="363636"/>
                <w:sz w:val="26"/>
                <w:szCs w:val="26"/>
              </w:rPr>
            </w:pPr>
            <w:r w:rsidRPr="00C54DC9">
              <w:rPr>
                <w:rFonts w:eastAsia="Times New Roman" w:cs="Times New Roman"/>
                <w:color w:val="363636"/>
                <w:sz w:val="26"/>
                <w:szCs w:val="26"/>
              </w:rPr>
              <w:t> </w:t>
            </w:r>
          </w:p>
          <w:p w:rsidR="00C54DC9" w:rsidRPr="00C54DC9" w:rsidRDefault="00C54DC9" w:rsidP="00C54DC9">
            <w:pPr>
              <w:spacing w:before="120" w:line="240" w:lineRule="auto"/>
              <w:jc w:val="left"/>
              <w:textAlignment w:val="baseline"/>
              <w:rPr>
                <w:rFonts w:eastAsia="Times New Roman" w:cs="Times New Roman"/>
                <w:color w:val="363636"/>
                <w:sz w:val="26"/>
                <w:szCs w:val="26"/>
              </w:rPr>
            </w:pPr>
            <w:r w:rsidRPr="00C54DC9">
              <w:rPr>
                <w:rFonts w:eastAsia="Times New Roman" w:cs="Times New Roman"/>
                <w:color w:val="363636"/>
                <w:sz w:val="26"/>
                <w:szCs w:val="26"/>
              </w:rPr>
              <w:t> </w:t>
            </w:r>
          </w:p>
        </w:tc>
        <w:tc>
          <w:tcPr>
            <w:tcW w:w="6384" w:type="dxa"/>
            <w:shd w:val="clear" w:color="auto" w:fill="auto"/>
            <w:tcMar>
              <w:top w:w="0" w:type="dxa"/>
              <w:left w:w="108" w:type="dxa"/>
              <w:bottom w:w="0" w:type="dxa"/>
              <w:right w:w="108" w:type="dxa"/>
            </w:tcMar>
            <w:vAlign w:val="center"/>
            <w:hideMark/>
          </w:tcPr>
          <w:p w:rsidR="00C54DC9" w:rsidRPr="00C54DC9" w:rsidRDefault="00C54DC9" w:rsidP="00C54DC9">
            <w:pPr>
              <w:spacing w:line="240" w:lineRule="auto"/>
              <w:jc w:val="center"/>
              <w:textAlignment w:val="baseline"/>
              <w:rPr>
                <w:rFonts w:eastAsia="Times New Roman" w:cs="Times New Roman"/>
                <w:color w:val="363636"/>
                <w:sz w:val="26"/>
                <w:szCs w:val="26"/>
              </w:rPr>
            </w:pPr>
            <w:r w:rsidRPr="00C54DC9">
              <w:rPr>
                <w:rFonts w:eastAsia="Times New Roman" w:cs="Times New Roman"/>
                <w:b/>
                <w:bCs/>
                <w:color w:val="363636"/>
                <w:sz w:val="26"/>
                <w:szCs w:val="26"/>
                <w:bdr w:val="none" w:sz="0" w:space="0" w:color="auto" w:frame="1"/>
              </w:rPr>
              <w:t>K/T TRƯỞNG BAN</w:t>
            </w:r>
            <w:r w:rsidRPr="00C54DC9">
              <w:rPr>
                <w:rFonts w:eastAsia="Times New Roman" w:cs="Times New Roman"/>
                <w:b/>
                <w:bCs/>
                <w:color w:val="363636"/>
                <w:sz w:val="26"/>
                <w:szCs w:val="26"/>
                <w:bdr w:val="none" w:sz="0" w:space="0" w:color="auto" w:frame="1"/>
              </w:rPr>
              <w:br/>
              <w:t>PHÓ TRƯỞNG BAN</w:t>
            </w:r>
          </w:p>
          <w:p w:rsidR="00C54DC9" w:rsidRPr="00C54DC9" w:rsidRDefault="00C54DC9" w:rsidP="00C54DC9">
            <w:pPr>
              <w:spacing w:line="240" w:lineRule="auto"/>
              <w:jc w:val="center"/>
              <w:textAlignment w:val="baseline"/>
              <w:rPr>
                <w:rFonts w:eastAsia="Times New Roman" w:cs="Times New Roman"/>
                <w:color w:val="363636"/>
                <w:sz w:val="26"/>
                <w:szCs w:val="26"/>
              </w:rPr>
            </w:pPr>
            <w:r w:rsidRPr="00C54DC9">
              <w:rPr>
                <w:rFonts w:eastAsia="Times New Roman" w:cs="Times New Roman"/>
                <w:i/>
                <w:iCs/>
                <w:color w:val="363636"/>
                <w:sz w:val="26"/>
                <w:szCs w:val="26"/>
                <w:bdr w:val="none" w:sz="0" w:space="0" w:color="auto" w:frame="1"/>
              </w:rPr>
              <w:t>(đã ký)</w:t>
            </w:r>
          </w:p>
          <w:p w:rsidR="00C54DC9" w:rsidRPr="00C54DC9" w:rsidRDefault="00C54DC9" w:rsidP="00C54DC9">
            <w:pPr>
              <w:spacing w:line="240" w:lineRule="auto"/>
              <w:jc w:val="center"/>
              <w:textAlignment w:val="baseline"/>
              <w:rPr>
                <w:rFonts w:eastAsia="Times New Roman" w:cs="Times New Roman"/>
                <w:color w:val="363636"/>
                <w:sz w:val="26"/>
                <w:szCs w:val="26"/>
              </w:rPr>
            </w:pPr>
            <w:r w:rsidRPr="00C54DC9">
              <w:rPr>
                <w:rFonts w:eastAsia="Times New Roman" w:cs="Times New Roman"/>
                <w:b/>
                <w:bCs/>
                <w:color w:val="363636"/>
                <w:sz w:val="26"/>
                <w:szCs w:val="26"/>
                <w:bdr w:val="none" w:sz="0" w:space="0" w:color="auto" w:frame="1"/>
              </w:rPr>
              <w:t>Lâm Phương Thanh</w:t>
            </w:r>
          </w:p>
        </w:tc>
      </w:tr>
    </w:tbl>
    <w:p w:rsidR="005862B5" w:rsidRPr="00C54DC9" w:rsidRDefault="005862B5" w:rsidP="00C54DC9">
      <w:pPr>
        <w:rPr>
          <w:rFonts w:cs="Times New Roman"/>
          <w:sz w:val="26"/>
          <w:szCs w:val="26"/>
        </w:rPr>
      </w:pPr>
    </w:p>
    <w:sectPr w:rsidR="005862B5" w:rsidRPr="00C54DC9" w:rsidSect="00214462">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59"/>
    <w:rsid w:val="00214462"/>
    <w:rsid w:val="003275D1"/>
    <w:rsid w:val="00474C69"/>
    <w:rsid w:val="005862B5"/>
    <w:rsid w:val="00590DB0"/>
    <w:rsid w:val="005B6940"/>
    <w:rsid w:val="00C54DC9"/>
    <w:rsid w:val="00D23959"/>
    <w:rsid w:val="00FD550F"/>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6067D-29C6-4244-8DD4-F94259D5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959"/>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D23959"/>
    <w:rPr>
      <w:b/>
      <w:bCs/>
    </w:rPr>
  </w:style>
  <w:style w:type="character" w:styleId="Hyperlink">
    <w:name w:val="Hyperlink"/>
    <w:basedOn w:val="DefaultParagraphFont"/>
    <w:uiPriority w:val="99"/>
    <w:semiHidden/>
    <w:unhideWhenUsed/>
    <w:rsid w:val="005B6940"/>
    <w:rPr>
      <w:color w:val="0000FF"/>
      <w:u w:val="single"/>
    </w:rPr>
  </w:style>
  <w:style w:type="character" w:styleId="Emphasis">
    <w:name w:val="Emphasis"/>
    <w:basedOn w:val="DefaultParagraphFont"/>
    <w:uiPriority w:val="20"/>
    <w:qFormat/>
    <w:rsid w:val="00C54DC9"/>
    <w:rPr>
      <w:i/>
      <w:iCs/>
    </w:rPr>
  </w:style>
  <w:style w:type="character" w:customStyle="1" w:styleId="apple-converted-space">
    <w:name w:val="apple-converted-space"/>
    <w:basedOn w:val="DefaultParagraphFont"/>
    <w:rsid w:val="00C5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7817">
      <w:bodyDiv w:val="1"/>
      <w:marLeft w:val="0"/>
      <w:marRight w:val="0"/>
      <w:marTop w:val="0"/>
      <w:marBottom w:val="0"/>
      <w:divBdr>
        <w:top w:val="none" w:sz="0" w:space="0" w:color="auto"/>
        <w:left w:val="none" w:sz="0" w:space="0" w:color="auto"/>
        <w:bottom w:val="none" w:sz="0" w:space="0" w:color="auto"/>
        <w:right w:val="none" w:sz="0" w:space="0" w:color="auto"/>
      </w:divBdr>
    </w:div>
    <w:div w:id="527643644">
      <w:bodyDiv w:val="1"/>
      <w:marLeft w:val="0"/>
      <w:marRight w:val="0"/>
      <w:marTop w:val="0"/>
      <w:marBottom w:val="0"/>
      <w:divBdr>
        <w:top w:val="none" w:sz="0" w:space="0" w:color="auto"/>
        <w:left w:val="none" w:sz="0" w:space="0" w:color="auto"/>
        <w:bottom w:val="none" w:sz="0" w:space="0" w:color="auto"/>
        <w:right w:val="none" w:sz="0" w:space="0" w:color="auto"/>
      </w:divBdr>
    </w:div>
    <w:div w:id="625041101">
      <w:bodyDiv w:val="1"/>
      <w:marLeft w:val="0"/>
      <w:marRight w:val="0"/>
      <w:marTop w:val="0"/>
      <w:marBottom w:val="0"/>
      <w:divBdr>
        <w:top w:val="none" w:sz="0" w:space="0" w:color="auto"/>
        <w:left w:val="none" w:sz="0" w:space="0" w:color="auto"/>
        <w:bottom w:val="none" w:sz="0" w:space="0" w:color="auto"/>
        <w:right w:val="none" w:sz="0" w:space="0" w:color="auto"/>
      </w:divBdr>
    </w:div>
    <w:div w:id="739257496">
      <w:bodyDiv w:val="1"/>
      <w:marLeft w:val="0"/>
      <w:marRight w:val="0"/>
      <w:marTop w:val="0"/>
      <w:marBottom w:val="0"/>
      <w:divBdr>
        <w:top w:val="none" w:sz="0" w:space="0" w:color="auto"/>
        <w:left w:val="none" w:sz="0" w:space="0" w:color="auto"/>
        <w:bottom w:val="none" w:sz="0" w:space="0" w:color="auto"/>
        <w:right w:val="none" w:sz="0" w:space="0" w:color="auto"/>
      </w:divBdr>
    </w:div>
    <w:div w:id="1199129542">
      <w:bodyDiv w:val="1"/>
      <w:marLeft w:val="0"/>
      <w:marRight w:val="0"/>
      <w:marTop w:val="0"/>
      <w:marBottom w:val="0"/>
      <w:divBdr>
        <w:top w:val="none" w:sz="0" w:space="0" w:color="auto"/>
        <w:left w:val="none" w:sz="0" w:space="0" w:color="auto"/>
        <w:bottom w:val="none" w:sz="0" w:space="0" w:color="auto"/>
        <w:right w:val="none" w:sz="0" w:space="0" w:color="auto"/>
      </w:divBdr>
    </w:div>
    <w:div w:id="1510872946">
      <w:bodyDiv w:val="1"/>
      <w:marLeft w:val="0"/>
      <w:marRight w:val="0"/>
      <w:marTop w:val="0"/>
      <w:marBottom w:val="0"/>
      <w:divBdr>
        <w:top w:val="none" w:sz="0" w:space="0" w:color="auto"/>
        <w:left w:val="none" w:sz="0" w:space="0" w:color="auto"/>
        <w:bottom w:val="none" w:sz="0" w:space="0" w:color="auto"/>
        <w:right w:val="none" w:sz="0" w:space="0" w:color="auto"/>
      </w:divBdr>
    </w:div>
    <w:div w:id="1516994294">
      <w:bodyDiv w:val="1"/>
      <w:marLeft w:val="0"/>
      <w:marRight w:val="0"/>
      <w:marTop w:val="0"/>
      <w:marBottom w:val="0"/>
      <w:divBdr>
        <w:top w:val="none" w:sz="0" w:space="0" w:color="auto"/>
        <w:left w:val="none" w:sz="0" w:space="0" w:color="auto"/>
        <w:bottom w:val="none" w:sz="0" w:space="0" w:color="auto"/>
        <w:right w:val="none" w:sz="0" w:space="0" w:color="auto"/>
      </w:divBdr>
    </w:div>
    <w:div w:id="1877353736">
      <w:bodyDiv w:val="1"/>
      <w:marLeft w:val="0"/>
      <w:marRight w:val="0"/>
      <w:marTop w:val="0"/>
      <w:marBottom w:val="0"/>
      <w:divBdr>
        <w:top w:val="none" w:sz="0" w:space="0" w:color="auto"/>
        <w:left w:val="none" w:sz="0" w:space="0" w:color="auto"/>
        <w:bottom w:val="none" w:sz="0" w:space="0" w:color="auto"/>
        <w:right w:val="none" w:sz="0" w:space="0" w:color="auto"/>
      </w:divBdr>
      <w:divsChild>
        <w:div w:id="1701278318">
          <w:marLeft w:val="0"/>
          <w:marRight w:val="0"/>
          <w:marTop w:val="0"/>
          <w:marBottom w:val="0"/>
          <w:divBdr>
            <w:top w:val="none" w:sz="0" w:space="0" w:color="auto"/>
            <w:left w:val="none" w:sz="0" w:space="0" w:color="auto"/>
            <w:bottom w:val="none" w:sz="0" w:space="0" w:color="auto"/>
            <w:right w:val="none" w:sz="0" w:space="0" w:color="auto"/>
          </w:divBdr>
          <w:divsChild>
            <w:div w:id="1381590286">
              <w:marLeft w:val="0"/>
              <w:marRight w:val="0"/>
              <w:marTop w:val="0"/>
              <w:marBottom w:val="120"/>
              <w:divBdr>
                <w:top w:val="none" w:sz="0" w:space="0" w:color="auto"/>
                <w:left w:val="none" w:sz="0" w:space="0" w:color="auto"/>
                <w:bottom w:val="none" w:sz="0" w:space="0" w:color="auto"/>
                <w:right w:val="none" w:sz="0" w:space="0" w:color="auto"/>
              </w:divBdr>
              <w:divsChild>
                <w:div w:id="16578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7900">
          <w:marLeft w:val="0"/>
          <w:marRight w:val="0"/>
          <w:marTop w:val="0"/>
          <w:marBottom w:val="0"/>
          <w:divBdr>
            <w:top w:val="none" w:sz="0" w:space="0" w:color="auto"/>
            <w:left w:val="none" w:sz="0" w:space="0" w:color="auto"/>
            <w:bottom w:val="none" w:sz="0" w:space="0" w:color="auto"/>
            <w:right w:val="none" w:sz="0" w:space="0" w:color="auto"/>
          </w:divBdr>
        </w:div>
        <w:div w:id="1479767738">
          <w:marLeft w:val="0"/>
          <w:marRight w:val="0"/>
          <w:marTop w:val="0"/>
          <w:marBottom w:val="0"/>
          <w:divBdr>
            <w:top w:val="none" w:sz="0" w:space="0" w:color="auto"/>
            <w:left w:val="none" w:sz="0" w:space="0" w:color="auto"/>
            <w:bottom w:val="none" w:sz="0" w:space="0" w:color="auto"/>
            <w:right w:val="none" w:sz="0" w:space="0" w:color="auto"/>
          </w:divBdr>
        </w:div>
        <w:div w:id="1903714119">
          <w:marLeft w:val="0"/>
          <w:marRight w:val="0"/>
          <w:marTop w:val="0"/>
          <w:marBottom w:val="0"/>
          <w:divBdr>
            <w:top w:val="none" w:sz="0" w:space="0" w:color="auto"/>
            <w:left w:val="none" w:sz="0" w:space="0" w:color="auto"/>
            <w:bottom w:val="none" w:sz="0" w:space="0" w:color="auto"/>
            <w:right w:val="none" w:sz="0" w:space="0" w:color="auto"/>
          </w:divBdr>
        </w:div>
        <w:div w:id="1104224214">
          <w:marLeft w:val="0"/>
          <w:marRight w:val="0"/>
          <w:marTop w:val="0"/>
          <w:marBottom w:val="0"/>
          <w:divBdr>
            <w:top w:val="none" w:sz="0" w:space="0" w:color="auto"/>
            <w:left w:val="none" w:sz="0" w:space="0" w:color="auto"/>
            <w:bottom w:val="none" w:sz="0" w:space="0" w:color="auto"/>
            <w:right w:val="none" w:sz="0" w:space="0" w:color="auto"/>
          </w:divBdr>
        </w:div>
        <w:div w:id="2011523222">
          <w:marLeft w:val="0"/>
          <w:marRight w:val="0"/>
          <w:marTop w:val="0"/>
          <w:marBottom w:val="0"/>
          <w:divBdr>
            <w:top w:val="none" w:sz="0" w:space="0" w:color="auto"/>
            <w:left w:val="none" w:sz="0" w:space="0" w:color="auto"/>
            <w:bottom w:val="none" w:sz="0" w:space="0" w:color="auto"/>
            <w:right w:val="none" w:sz="0" w:space="0" w:color="auto"/>
          </w:divBdr>
        </w:div>
        <w:div w:id="1703633132">
          <w:marLeft w:val="0"/>
          <w:marRight w:val="0"/>
          <w:marTop w:val="0"/>
          <w:marBottom w:val="0"/>
          <w:divBdr>
            <w:top w:val="none" w:sz="0" w:space="0" w:color="auto"/>
            <w:left w:val="none" w:sz="0" w:space="0" w:color="auto"/>
            <w:bottom w:val="none" w:sz="0" w:space="0" w:color="auto"/>
            <w:right w:val="none" w:sz="0" w:space="0" w:color="auto"/>
          </w:divBdr>
        </w:div>
        <w:div w:id="141115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1966</Words>
  <Characters>11207</Characters>
  <Application>Microsoft Office Word</Application>
  <DocSecurity>0</DocSecurity>
  <Lines>93</Lines>
  <Paragraphs>26</Paragraphs>
  <ScaleCrop>false</ScaleCrop>
  <Company/>
  <LinksUpToDate>false</LinksUpToDate>
  <CharactersWithSpaces>13147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2022-08-11T10:07:00Z</dcterms:created>
  <dcterms:modified xsi:type="dcterms:W3CDTF">2022-08-11T10:07:00Z</dcterms:modified>
</cp:coreProperties>
</file>